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2301" w14:textId="1D4E1FF3" w:rsidR="00A009CD" w:rsidRPr="00957DC5" w:rsidRDefault="00461D42" w:rsidP="004871F3">
      <w:pPr>
        <w:spacing w:before="240" w:after="240"/>
        <w:ind w:left="1440" w:hanging="1440"/>
        <w:rPr>
          <w:rFonts w:ascii="Calibri" w:hAnsi="Calibri" w:cs="Tahoma"/>
          <w:sz w:val="22"/>
          <w:szCs w:val="22"/>
        </w:rPr>
      </w:pPr>
      <w:r w:rsidRPr="00957DC5">
        <w:rPr>
          <w:rFonts w:ascii="Calibri" w:hAnsi="Calibri" w:cs="Tahoma"/>
          <w:b/>
          <w:bCs/>
          <w:sz w:val="22"/>
          <w:szCs w:val="22"/>
        </w:rPr>
        <w:t>Position Title:</w:t>
      </w:r>
      <w:r w:rsidR="00B86FA1" w:rsidRPr="00957DC5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EC7DC5">
        <w:rPr>
          <w:rFonts w:ascii="Calibri" w:hAnsi="Calibri" w:cs="Tahoma"/>
          <w:b/>
          <w:bCs/>
          <w:sz w:val="22"/>
          <w:szCs w:val="22"/>
        </w:rPr>
        <w:t>Social Policy</w:t>
      </w:r>
      <w:r w:rsidR="00DC0B2D">
        <w:rPr>
          <w:rFonts w:ascii="Calibri" w:hAnsi="Calibri" w:cs="Tahoma"/>
          <w:b/>
          <w:bCs/>
          <w:sz w:val="22"/>
          <w:szCs w:val="22"/>
        </w:rPr>
        <w:t xml:space="preserve"> &amp; Research Specialist</w:t>
      </w:r>
      <w:r w:rsidR="00EC7DC5">
        <w:rPr>
          <w:rFonts w:ascii="Calibri" w:hAnsi="Calibri" w:cs="Tahoma"/>
          <w:b/>
          <w:bCs/>
          <w:sz w:val="22"/>
          <w:szCs w:val="22"/>
        </w:rPr>
        <w:t xml:space="preserve"> </w:t>
      </w:r>
    </w:p>
    <w:p w14:paraId="6F11D03A" w14:textId="75A31A49" w:rsidR="00A009CD" w:rsidRPr="00957DC5" w:rsidRDefault="00A009CD" w:rsidP="004871F3">
      <w:pPr>
        <w:spacing w:before="240" w:after="240"/>
        <w:ind w:left="1440" w:hanging="1440"/>
        <w:rPr>
          <w:rFonts w:ascii="Calibri" w:hAnsi="Calibri" w:cs="Tahoma"/>
          <w:bCs/>
          <w:sz w:val="22"/>
          <w:szCs w:val="22"/>
        </w:rPr>
      </w:pPr>
      <w:r w:rsidRPr="00957DC5">
        <w:rPr>
          <w:rFonts w:ascii="Calibri" w:hAnsi="Calibri" w:cs="Tahoma"/>
          <w:b/>
          <w:bCs/>
          <w:sz w:val="22"/>
          <w:szCs w:val="22"/>
        </w:rPr>
        <w:t>Service</w:t>
      </w:r>
      <w:r w:rsidR="009352F2" w:rsidRPr="00957DC5">
        <w:rPr>
          <w:rFonts w:ascii="Calibri" w:hAnsi="Calibri" w:cs="Tahoma"/>
          <w:b/>
          <w:bCs/>
          <w:sz w:val="22"/>
          <w:szCs w:val="22"/>
        </w:rPr>
        <w:t>:</w:t>
      </w:r>
      <w:r w:rsidR="00B86FA1" w:rsidRPr="00957DC5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4871F3" w:rsidRPr="00957DC5">
        <w:rPr>
          <w:rFonts w:ascii="Calibri" w:hAnsi="Calibri" w:cs="Tahoma"/>
          <w:b/>
          <w:bCs/>
          <w:sz w:val="22"/>
          <w:szCs w:val="22"/>
        </w:rPr>
        <w:t xml:space="preserve"> </w:t>
      </w:r>
      <w:proofErr w:type="spellStart"/>
      <w:r w:rsidR="003224C0">
        <w:rPr>
          <w:rFonts w:ascii="Calibri" w:hAnsi="Calibri" w:cs="Tahoma"/>
          <w:b/>
          <w:bCs/>
          <w:sz w:val="22"/>
          <w:szCs w:val="22"/>
        </w:rPr>
        <w:t>Tauihu</w:t>
      </w:r>
      <w:proofErr w:type="spellEnd"/>
      <w:r w:rsidR="003224C0">
        <w:rPr>
          <w:rFonts w:ascii="Calibri" w:hAnsi="Calibri" w:cs="Tahoma"/>
          <w:b/>
          <w:bCs/>
          <w:sz w:val="22"/>
          <w:szCs w:val="22"/>
        </w:rPr>
        <w:t xml:space="preserve"> Office</w:t>
      </w:r>
    </w:p>
    <w:p w14:paraId="196E2C5F" w14:textId="3EDC2A2B" w:rsidR="00A009CD" w:rsidRPr="00957DC5" w:rsidRDefault="00A009CD" w:rsidP="00067BB6">
      <w:pPr>
        <w:spacing w:before="240" w:after="240"/>
        <w:ind w:left="2880" w:hanging="2880"/>
        <w:rPr>
          <w:rFonts w:ascii="Calibri" w:hAnsi="Calibri" w:cs="Tahoma"/>
          <w:bCs/>
          <w:sz w:val="22"/>
          <w:szCs w:val="22"/>
        </w:rPr>
      </w:pPr>
      <w:r w:rsidRPr="00957DC5">
        <w:rPr>
          <w:rFonts w:ascii="Calibri" w:hAnsi="Calibri" w:cs="Tahoma"/>
          <w:b/>
          <w:bCs/>
          <w:sz w:val="22"/>
          <w:szCs w:val="22"/>
        </w:rPr>
        <w:t>Reports to:</w:t>
      </w:r>
      <w:r w:rsidR="002C0037" w:rsidRPr="00957DC5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597C4D">
        <w:rPr>
          <w:rFonts w:ascii="Calibri" w:hAnsi="Calibri" w:cs="Tahoma"/>
          <w:b/>
          <w:bCs/>
          <w:sz w:val="22"/>
          <w:szCs w:val="22"/>
        </w:rPr>
        <w:t xml:space="preserve">Director </w:t>
      </w:r>
      <w:r w:rsidR="00D84C18">
        <w:rPr>
          <w:rFonts w:ascii="Calibri" w:hAnsi="Calibri" w:cs="Tahoma"/>
          <w:b/>
          <w:bCs/>
          <w:sz w:val="22"/>
          <w:szCs w:val="22"/>
        </w:rPr>
        <w:t>of Partnerships</w:t>
      </w:r>
      <w:r w:rsidR="002C0037" w:rsidRPr="00957DC5">
        <w:rPr>
          <w:rFonts w:ascii="Calibri" w:hAnsi="Calibri" w:cs="Tahoma"/>
          <w:b/>
          <w:bCs/>
          <w:sz w:val="22"/>
          <w:szCs w:val="22"/>
        </w:rPr>
        <w:t xml:space="preserve">   </w:t>
      </w:r>
    </w:p>
    <w:p w14:paraId="6C9EAFB6" w14:textId="5C619FE1" w:rsidR="00A009CD" w:rsidRPr="00957DC5" w:rsidRDefault="00067BB6" w:rsidP="000C3A71">
      <w:pPr>
        <w:shd w:val="clear" w:color="auto" w:fill="C9DEA0"/>
        <w:spacing w:before="240" w:after="240"/>
        <w:ind w:left="2880" w:hanging="2880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Task Management</w:t>
      </w:r>
    </w:p>
    <w:p w14:paraId="641FC790" w14:textId="77777777" w:rsidR="00612AAE" w:rsidRPr="00BF5D7C" w:rsidRDefault="00612AAE" w:rsidP="00612AAE">
      <w:pPr>
        <w:pStyle w:val="ListParagraph"/>
        <w:numPr>
          <w:ilvl w:val="0"/>
          <w:numId w:val="50"/>
        </w:numPr>
        <w:contextualSpacing/>
        <w:rPr>
          <w:rFonts w:ascii="Calibri" w:hAnsi="Calibri" w:cs="Tahoma"/>
          <w:sz w:val="22"/>
          <w:szCs w:val="22"/>
        </w:rPr>
      </w:pPr>
      <w:r w:rsidRPr="00BF5D7C">
        <w:rPr>
          <w:rFonts w:ascii="Calibri" w:hAnsi="Calibri" w:cs="Tahoma"/>
          <w:sz w:val="22"/>
          <w:szCs w:val="22"/>
        </w:rPr>
        <w:t>Leading policy and research projects and workstreams to the discretion of the CEO, DCE and Executive team in line with the organisation’s purpose and vision.</w:t>
      </w:r>
    </w:p>
    <w:p w14:paraId="3237C6DD" w14:textId="77777777" w:rsidR="00612AAE" w:rsidRPr="00BF5D7C" w:rsidRDefault="00612AAE" w:rsidP="00612AAE">
      <w:pPr>
        <w:pStyle w:val="ListParagraph"/>
        <w:numPr>
          <w:ilvl w:val="0"/>
          <w:numId w:val="50"/>
        </w:numPr>
        <w:contextualSpacing/>
        <w:rPr>
          <w:rFonts w:ascii="Calibri" w:hAnsi="Calibri" w:cs="Tahoma"/>
          <w:sz w:val="22"/>
          <w:szCs w:val="22"/>
        </w:rPr>
      </w:pPr>
      <w:r w:rsidRPr="00BF5D7C">
        <w:rPr>
          <w:rFonts w:ascii="Calibri" w:hAnsi="Calibri" w:cs="Tahoma"/>
          <w:sz w:val="22"/>
          <w:szCs w:val="22"/>
        </w:rPr>
        <w:t>Taking the lead writer role for RFP’s, EOI’s, and any other government tenders in line with the strategic goals of the organisation</w:t>
      </w:r>
    </w:p>
    <w:p w14:paraId="26738DDE" w14:textId="2280B7E8" w:rsidR="00746A70" w:rsidRPr="002F6367" w:rsidRDefault="00746A70" w:rsidP="00067BB6">
      <w:pPr>
        <w:rPr>
          <w:rFonts w:ascii="Calibri" w:hAnsi="Calibri" w:cs="Arial"/>
          <w:b/>
          <w:bCs/>
          <w:color w:val="FF0000"/>
          <w:sz w:val="22"/>
          <w:szCs w:val="22"/>
        </w:rPr>
      </w:pPr>
    </w:p>
    <w:p w14:paraId="09853D30" w14:textId="2BA5370D" w:rsidR="00A009CD" w:rsidRPr="00957DC5" w:rsidRDefault="00067BB6" w:rsidP="000C3A71">
      <w:pPr>
        <w:shd w:val="clear" w:color="auto" w:fill="C9DEA0"/>
        <w:spacing w:before="240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Key Tasks</w:t>
      </w:r>
    </w:p>
    <w:p w14:paraId="57891DA6" w14:textId="4A749C72" w:rsidR="00A009CD" w:rsidRDefault="00A009CD" w:rsidP="002F6367">
      <w:pPr>
        <w:spacing w:after="24"/>
        <w:rPr>
          <w:rFonts w:asciiTheme="minorHAnsi" w:hAnsiTheme="minorHAnsi"/>
          <w:b/>
          <w:sz w:val="22"/>
          <w:szCs w:val="22"/>
        </w:rPr>
      </w:pPr>
    </w:p>
    <w:p w14:paraId="76A29EFF" w14:textId="5A56B458" w:rsidR="002F6367" w:rsidRPr="00BF5D7C" w:rsidRDefault="00BF5D7C" w:rsidP="002F6367">
      <w:pPr>
        <w:spacing w:after="2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</w:t>
      </w:r>
      <w:r w:rsidRPr="00BF5D7C">
        <w:rPr>
          <w:rFonts w:ascii="Calibri" w:hAnsi="Calibri" w:cs="Tahoma"/>
          <w:sz w:val="22"/>
          <w:szCs w:val="22"/>
        </w:rPr>
        <w:t xml:space="preserve">upporting the overall capability of the Executive to respond to emerging whānau policy issues and trends in </w:t>
      </w:r>
      <w:proofErr w:type="gramStart"/>
      <w:r w:rsidRPr="00BF5D7C">
        <w:rPr>
          <w:rFonts w:ascii="Calibri" w:hAnsi="Calibri" w:cs="Tahoma"/>
          <w:sz w:val="22"/>
          <w:szCs w:val="22"/>
        </w:rPr>
        <w:t>Aotearoa New Zealand, and</w:t>
      </w:r>
      <w:proofErr w:type="gramEnd"/>
      <w:r w:rsidRPr="00BF5D7C">
        <w:rPr>
          <w:rFonts w:ascii="Calibri" w:hAnsi="Calibri" w:cs="Tahoma"/>
          <w:sz w:val="22"/>
          <w:szCs w:val="22"/>
        </w:rPr>
        <w:t xml:space="preserve"> influence domestic policy and resource allocation to bring positive change for whānau in New Zealand</w:t>
      </w:r>
      <w:r w:rsidR="00C8237E">
        <w:rPr>
          <w:rFonts w:ascii="Calibri" w:hAnsi="Calibri" w:cs="Tahoma"/>
          <w:sz w:val="22"/>
          <w:szCs w:val="22"/>
        </w:rPr>
        <w:t>.</w:t>
      </w:r>
    </w:p>
    <w:p w14:paraId="4741AE92" w14:textId="77777777" w:rsidR="005A4140" w:rsidRPr="00957DC5" w:rsidRDefault="005A4140" w:rsidP="005A4140">
      <w:pPr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2835"/>
      </w:tblGrid>
      <w:tr w:rsidR="005A4140" w:rsidRPr="00957DC5" w14:paraId="79F4C024" w14:textId="77777777" w:rsidTr="000C3A71">
        <w:trPr>
          <w:trHeight w:val="483"/>
        </w:trPr>
        <w:tc>
          <w:tcPr>
            <w:tcW w:w="2127" w:type="dxa"/>
            <w:shd w:val="clear" w:color="auto" w:fill="C9DEA0"/>
            <w:vAlign w:val="center"/>
          </w:tcPr>
          <w:p w14:paraId="3DD2FFB7" w14:textId="6B0F4B4B" w:rsidR="005A4140" w:rsidRPr="00957DC5" w:rsidRDefault="005A4140" w:rsidP="003171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57DC5">
              <w:rPr>
                <w:rFonts w:ascii="Calibri" w:hAnsi="Calibri" w:cs="Calibri"/>
                <w:b/>
                <w:sz w:val="22"/>
                <w:szCs w:val="22"/>
              </w:rPr>
              <w:t xml:space="preserve">Key </w:t>
            </w:r>
            <w:r w:rsidR="000F01B3">
              <w:rPr>
                <w:rFonts w:ascii="Calibri" w:hAnsi="Calibri" w:cs="Calibri"/>
                <w:b/>
                <w:sz w:val="22"/>
                <w:szCs w:val="22"/>
              </w:rPr>
              <w:t>Tasks</w:t>
            </w:r>
          </w:p>
        </w:tc>
        <w:tc>
          <w:tcPr>
            <w:tcW w:w="4110" w:type="dxa"/>
            <w:shd w:val="clear" w:color="auto" w:fill="C9DEA0"/>
            <w:vAlign w:val="center"/>
          </w:tcPr>
          <w:p w14:paraId="62A8DFCD" w14:textId="3A4CBCE2" w:rsidR="005A4140" w:rsidRPr="00957DC5" w:rsidRDefault="000F01B3" w:rsidP="003171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Details</w:t>
            </w:r>
          </w:p>
        </w:tc>
        <w:tc>
          <w:tcPr>
            <w:tcW w:w="2835" w:type="dxa"/>
            <w:shd w:val="clear" w:color="auto" w:fill="C9DEA0"/>
            <w:vAlign w:val="center"/>
          </w:tcPr>
          <w:p w14:paraId="039EB0E4" w14:textId="10764D78" w:rsidR="005A4140" w:rsidRPr="00957DC5" w:rsidRDefault="00067BB6" w:rsidP="003171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Expected Outcomes</w:t>
            </w:r>
          </w:p>
        </w:tc>
      </w:tr>
      <w:tr w:rsidR="00633556" w:rsidRPr="00957DC5" w14:paraId="12FC30A8" w14:textId="77777777" w:rsidTr="00C87B27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9E0ADDC" w14:textId="060E5309" w:rsidR="00633556" w:rsidRPr="00D57DC6" w:rsidRDefault="004D7BE9" w:rsidP="00C87B2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Lead policy and research projects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35378FC" w14:textId="77777777" w:rsidR="00D57DC6" w:rsidRPr="00D57DC6" w:rsidRDefault="00D57DC6" w:rsidP="00D57DC6">
            <w:pPr>
              <w:contextualSpacing/>
              <w:rPr>
                <w:rFonts w:ascii="Calibri" w:hAnsi="Calibri" w:cs="Tahoma"/>
                <w:sz w:val="22"/>
                <w:szCs w:val="22"/>
              </w:rPr>
            </w:pPr>
            <w:r w:rsidRPr="00D57DC6">
              <w:rPr>
                <w:rFonts w:ascii="Calibri" w:hAnsi="Calibri" w:cs="Tahoma"/>
                <w:sz w:val="22"/>
                <w:szCs w:val="22"/>
              </w:rPr>
              <w:t>Leading policy and research projects and workstreams to the discretion of the CEO, DCE and Executive team in line with the organisation’s purpose and vision.</w:t>
            </w:r>
          </w:p>
          <w:p w14:paraId="2B7A93AF" w14:textId="77777777" w:rsidR="00633556" w:rsidRPr="00D57DC6" w:rsidRDefault="00633556" w:rsidP="00C87B27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8B3F64" w14:textId="77777777" w:rsidR="00C702DC" w:rsidRDefault="00C702DC" w:rsidP="00C702D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  <w:r w:rsidRPr="00C702DC"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>Policy statements are researched, written, and kept up to date for all service lines of the trust and areas of interest</w:t>
            </w:r>
          </w:p>
          <w:p w14:paraId="4A8A99E2" w14:textId="77777777" w:rsidR="00803ABD" w:rsidRDefault="00803ABD" w:rsidP="00C702D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  <w:p w14:paraId="6AE10DCF" w14:textId="6B145589" w:rsidR="00803ABD" w:rsidRPr="00C702DC" w:rsidRDefault="00803ABD" w:rsidP="00C702D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  <w:r w:rsidRPr="00803ABD">
              <w:rPr>
                <w:rFonts w:asciiTheme="minorHAnsi" w:hAnsiTheme="minorHAnsi" w:cstheme="minorHAnsi"/>
                <w:bCs/>
                <w:sz w:val="22"/>
                <w:szCs w:val="22"/>
              </w:rPr>
              <w:t>To prioritise papers and reports for the CEO, DCE and Board and deliver at a high standard and on deadline</w:t>
            </w:r>
          </w:p>
          <w:p w14:paraId="18807459" w14:textId="77777777" w:rsidR="00633556" w:rsidRPr="00C87B27" w:rsidRDefault="00633556" w:rsidP="00C87B27">
            <w:pPr>
              <w:pStyle w:val="ListParagraph"/>
              <w:ind w:left="18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33556" w:rsidRPr="00957DC5" w14:paraId="184593AB" w14:textId="77777777" w:rsidTr="00C87B27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4B7DB04" w14:textId="6E227EED" w:rsidR="00633556" w:rsidRPr="00C87B27" w:rsidRDefault="004D7D86" w:rsidP="00C87B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Lead Writer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C6C45CE" w14:textId="77777777" w:rsidR="004D7D86" w:rsidRPr="004D7D86" w:rsidRDefault="004D7D86" w:rsidP="004D7D86">
            <w:pPr>
              <w:contextualSpacing/>
              <w:rPr>
                <w:rFonts w:ascii="Calibri" w:hAnsi="Calibri" w:cs="Tahoma"/>
                <w:sz w:val="22"/>
                <w:szCs w:val="22"/>
              </w:rPr>
            </w:pPr>
            <w:r w:rsidRPr="004D7D86">
              <w:rPr>
                <w:rFonts w:ascii="Calibri" w:hAnsi="Calibri" w:cs="Tahoma"/>
                <w:sz w:val="22"/>
                <w:szCs w:val="22"/>
              </w:rPr>
              <w:t>Taking the lead writer role for RFP’s, EOI’s, and any other government tenders in line with the strategic goals of the organisation</w:t>
            </w:r>
          </w:p>
          <w:p w14:paraId="4ED4C591" w14:textId="77777777" w:rsidR="00633556" w:rsidRPr="00C87B27" w:rsidRDefault="00633556" w:rsidP="00C87B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F6215B" w14:textId="77777777" w:rsidR="0008759B" w:rsidRPr="0008759B" w:rsidRDefault="0008759B" w:rsidP="0008759B">
            <w:pPr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  <w:r w:rsidRPr="0008759B"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 xml:space="preserve">Government papers for collectives that </w:t>
            </w:r>
            <w:proofErr w:type="spellStart"/>
            <w:r w:rsidRPr="0008759B"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>Visionwest</w:t>
            </w:r>
            <w:proofErr w:type="spellEnd"/>
            <w:r w:rsidRPr="0008759B"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 xml:space="preserve"> participate in are reviewed, edited and contributed to within agreed timelines</w:t>
            </w:r>
          </w:p>
          <w:p w14:paraId="49DE2689" w14:textId="77777777" w:rsidR="0008759B" w:rsidRDefault="0008759B" w:rsidP="0008759B">
            <w:pPr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  <w:p w14:paraId="5E6A8057" w14:textId="7E20C2CD" w:rsidR="0008759B" w:rsidRPr="0008759B" w:rsidRDefault="0008759B" w:rsidP="0008759B">
            <w:pPr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  <w:r w:rsidRPr="0008759B"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>Government proposals of organisational significance are written and delivered on time according to the CEO, DCE and Director of Partnerships requirements</w:t>
            </w:r>
          </w:p>
          <w:p w14:paraId="06D0EDF5" w14:textId="77777777" w:rsidR="00633556" w:rsidRPr="00C87B27" w:rsidRDefault="00633556" w:rsidP="00C87B27">
            <w:pPr>
              <w:pStyle w:val="ListParagraph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245F1" w:rsidRPr="00957DC5" w14:paraId="10F05220" w14:textId="77777777" w:rsidTr="00C87B27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7F6EA44" w14:textId="53807FEE" w:rsidR="00067BB6" w:rsidRPr="00C87B27" w:rsidRDefault="006F4ECE" w:rsidP="00C87B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EC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Monitoring the local political environment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FA80DE" w14:textId="50657F7E" w:rsidR="00BA1875" w:rsidRPr="00BA1875" w:rsidRDefault="00BA1875" w:rsidP="00BA1875">
            <w:pPr>
              <w:contextualSpacing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</w:t>
            </w:r>
            <w:r w:rsidRPr="00BA1875">
              <w:rPr>
                <w:rFonts w:ascii="Calibri" w:hAnsi="Calibri" w:cs="Tahoma"/>
                <w:sz w:val="22"/>
                <w:szCs w:val="22"/>
              </w:rPr>
              <w:t>aintaining oversight of emerging policies, funding, trends, risks and other developments in relation to housing, health, poverty and other social issues relevant to the Trust.</w:t>
            </w:r>
          </w:p>
          <w:p w14:paraId="5686378D" w14:textId="0E3DBF74" w:rsidR="004245F1" w:rsidRPr="00C87B27" w:rsidRDefault="004245F1" w:rsidP="00C87B27">
            <w:pPr>
              <w:pStyle w:val="ListParagraph"/>
              <w:ind w:left="3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998EDF" w14:textId="77777777" w:rsidR="00A9226F" w:rsidRPr="00A9226F" w:rsidRDefault="00A9226F" w:rsidP="00A9226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  <w:r w:rsidRPr="00A9226F"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 xml:space="preserve">To research and study models of practice and programmes locally and internationally that may be of benefit in shaping </w:t>
            </w:r>
            <w:proofErr w:type="spellStart"/>
            <w:r w:rsidRPr="00A9226F"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>Visionwest</w:t>
            </w:r>
            <w:proofErr w:type="spellEnd"/>
            <w:r w:rsidRPr="00A9226F"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 xml:space="preserve"> service and programme design</w:t>
            </w:r>
          </w:p>
          <w:p w14:paraId="760DF802" w14:textId="04354F2D" w:rsidR="004245F1" w:rsidRPr="00C87B27" w:rsidRDefault="004245F1" w:rsidP="00172E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245F1" w:rsidRPr="00957DC5" w14:paraId="5807FB78" w14:textId="77777777" w:rsidTr="00C87B27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03EBB6C" w14:textId="3ABD2577" w:rsidR="00067BB6" w:rsidRPr="00C87B27" w:rsidRDefault="00B37652" w:rsidP="00C87B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Develop policy advice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D7211D" w14:textId="13433C11" w:rsidR="004245F1" w:rsidRPr="00C87B27" w:rsidRDefault="00BD4030" w:rsidP="00BD403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4030">
              <w:rPr>
                <w:rFonts w:ascii="Calibri" w:hAnsi="Calibri" w:cs="Tahoma"/>
                <w:sz w:val="22"/>
                <w:szCs w:val="22"/>
              </w:rPr>
              <w:t>Critically using data, evidence, and information from multiple sources to develop policy advice to the CEO and DCE, and on behalf of the CEO and DCE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42EC09" w14:textId="77777777" w:rsidR="00DF085A" w:rsidRPr="00DF085A" w:rsidRDefault="00DF085A" w:rsidP="00DF085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  <w:r w:rsidRPr="00DF085A"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 xml:space="preserve">Community Development and Social Justice frameworks are imbedded in any service design, analysis, review and evaluations. </w:t>
            </w:r>
          </w:p>
          <w:p w14:paraId="0FD7774A" w14:textId="65B92248" w:rsidR="004245F1" w:rsidRPr="00C87B27" w:rsidRDefault="004245F1" w:rsidP="00C87B27">
            <w:pPr>
              <w:pStyle w:val="ListParagraph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245F1" w:rsidRPr="00957DC5" w14:paraId="5D989871" w14:textId="77777777" w:rsidTr="00C87B27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1F41805" w14:textId="67A89C4D" w:rsidR="00067BB6" w:rsidRPr="00C87B27" w:rsidRDefault="002E3F94" w:rsidP="00C87B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Develop proposals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B50E341" w14:textId="77777777" w:rsidR="00E2063F" w:rsidRPr="00E2063F" w:rsidRDefault="00E2063F" w:rsidP="00E2063F">
            <w:pPr>
              <w:spacing w:after="160" w:line="259" w:lineRule="auto"/>
              <w:contextualSpacing/>
              <w:rPr>
                <w:rFonts w:ascii="Calibri" w:hAnsi="Calibri" w:cs="Tahoma"/>
                <w:sz w:val="22"/>
                <w:szCs w:val="22"/>
              </w:rPr>
            </w:pPr>
            <w:r w:rsidRPr="00E2063F">
              <w:rPr>
                <w:rFonts w:ascii="Calibri" w:hAnsi="Calibri" w:cs="Tahoma"/>
                <w:sz w:val="22"/>
                <w:szCs w:val="22"/>
              </w:rPr>
              <w:t>Develop proposals for research to fill evidence-gaps in the organisation’s priority areas using community development and social justice frames as a reference point.</w:t>
            </w:r>
          </w:p>
          <w:p w14:paraId="046FE584" w14:textId="65606627" w:rsidR="004245F1" w:rsidRPr="00E2063F" w:rsidRDefault="004245F1" w:rsidP="00C87B27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F82B0E" w14:textId="47688FF5" w:rsidR="004245F1" w:rsidRPr="00803ABD" w:rsidRDefault="00803ABD" w:rsidP="00803AB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3ABD">
              <w:rPr>
                <w:rFonts w:asciiTheme="minorHAnsi" w:hAnsiTheme="minorHAnsi" w:cstheme="minorHAnsi"/>
                <w:bCs/>
                <w:sz w:val="22"/>
                <w:szCs w:val="22"/>
              </w:rPr>
              <w:t>To prioritise papers and reports for the CEO, DCE and Board and deliver at a high standard and on deadline</w:t>
            </w:r>
          </w:p>
        </w:tc>
      </w:tr>
      <w:tr w:rsidR="00932FC6" w:rsidRPr="00957DC5" w14:paraId="0FA07FCB" w14:textId="77777777" w:rsidTr="00C87B27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F5D5D54" w14:textId="7B977A3A" w:rsidR="00932FC6" w:rsidRDefault="00932FC6" w:rsidP="00C87B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Trainings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D38F961" w14:textId="77777777" w:rsidR="00932FC6" w:rsidRPr="00932FC6" w:rsidRDefault="00932FC6" w:rsidP="00932FC6">
            <w:pPr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2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Support trainings, briefings, proposals and discussions on whānau facing programmes and policy, and producing reports in line with agreed strategies. </w:t>
            </w:r>
          </w:p>
          <w:p w14:paraId="5BD214B7" w14:textId="77777777" w:rsidR="00932FC6" w:rsidRPr="00E2063F" w:rsidRDefault="00932FC6" w:rsidP="00E2063F">
            <w:pPr>
              <w:spacing w:after="160" w:line="259" w:lineRule="auto"/>
              <w:contextualSpacing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BB8C90" w14:textId="77777777" w:rsidR="00F50512" w:rsidRPr="00F50512" w:rsidRDefault="00F50512" w:rsidP="00F5051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  <w:r w:rsidRPr="00F50512"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>Coalitions are formed within the trust to gather information and evaluations of key work streams to inform practice in the future</w:t>
            </w:r>
          </w:p>
          <w:p w14:paraId="257188F9" w14:textId="77777777" w:rsidR="00932FC6" w:rsidRPr="00C87B27" w:rsidRDefault="00932FC6" w:rsidP="00C87B27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F9B8CE8" w14:textId="570F1A98" w:rsidR="005A4140" w:rsidRDefault="005A4140" w:rsidP="005A4140">
      <w:pPr>
        <w:jc w:val="both"/>
        <w:rPr>
          <w:rFonts w:ascii="Calibri" w:hAnsi="Calibri" w:cs="Arial"/>
          <w:sz w:val="22"/>
          <w:szCs w:val="22"/>
        </w:rPr>
      </w:pPr>
    </w:p>
    <w:p w14:paraId="797C24BD" w14:textId="119B483D" w:rsidR="002F6367" w:rsidRPr="00957DC5" w:rsidRDefault="002F6367" w:rsidP="002F636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This Task list is not fully comprehensive</w:t>
      </w:r>
      <w:r w:rsidRPr="002F6367">
        <w:rPr>
          <w:rFonts w:ascii="Calibri" w:hAnsi="Calibri" w:cs="Arial"/>
          <w:i/>
          <w:iCs/>
          <w:sz w:val="22"/>
          <w:szCs w:val="22"/>
        </w:rPr>
        <w:t>.</w:t>
      </w:r>
      <w:r w:rsidR="0031710A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F6367">
        <w:rPr>
          <w:rFonts w:ascii="Calibri" w:hAnsi="Calibri" w:cs="Arial"/>
          <w:i/>
          <w:iCs/>
          <w:sz w:val="22"/>
          <w:szCs w:val="22"/>
        </w:rPr>
        <w:t xml:space="preserve">The role will be required to carry out other tasks of a similar nature as well as different tasks that support </w:t>
      </w:r>
      <w:r>
        <w:rPr>
          <w:rFonts w:ascii="Calibri" w:hAnsi="Calibri" w:cs="Arial"/>
          <w:i/>
          <w:iCs/>
          <w:sz w:val="22"/>
          <w:szCs w:val="22"/>
        </w:rPr>
        <w:t>the</w:t>
      </w:r>
      <w:r w:rsidRPr="002F6367">
        <w:rPr>
          <w:rFonts w:ascii="Calibri" w:hAnsi="Calibri" w:cs="Arial"/>
          <w:i/>
          <w:iCs/>
          <w:sz w:val="22"/>
          <w:szCs w:val="22"/>
        </w:rPr>
        <w:t xml:space="preserve"> team and </w:t>
      </w:r>
      <w:r>
        <w:rPr>
          <w:rFonts w:ascii="Calibri" w:hAnsi="Calibri" w:cs="Arial"/>
          <w:i/>
          <w:iCs/>
          <w:sz w:val="22"/>
          <w:szCs w:val="22"/>
        </w:rPr>
        <w:t xml:space="preserve">service </w:t>
      </w:r>
      <w:r w:rsidRPr="002F6367">
        <w:rPr>
          <w:rFonts w:ascii="Calibri" w:hAnsi="Calibri" w:cs="Arial"/>
          <w:i/>
          <w:iCs/>
          <w:sz w:val="22"/>
          <w:szCs w:val="22"/>
        </w:rPr>
        <w:t>objectives, and that are within role holder’s level of competency</w:t>
      </w:r>
      <w:r>
        <w:rPr>
          <w:rFonts w:ascii="Calibri" w:hAnsi="Calibri" w:cs="Arial"/>
          <w:i/>
          <w:iCs/>
          <w:sz w:val="22"/>
          <w:szCs w:val="22"/>
        </w:rPr>
        <w:t>.</w:t>
      </w:r>
    </w:p>
    <w:sectPr w:rsidR="002F6367" w:rsidRPr="00957DC5" w:rsidSect="00707246">
      <w:headerReference w:type="default" r:id="rId10"/>
      <w:pgSz w:w="11906" w:h="16838"/>
      <w:pgMar w:top="221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3416E" w14:textId="77777777" w:rsidR="002C3DBB" w:rsidRDefault="002C3DBB">
      <w:r>
        <w:separator/>
      </w:r>
    </w:p>
  </w:endnote>
  <w:endnote w:type="continuationSeparator" w:id="0">
    <w:p w14:paraId="260B4394" w14:textId="77777777" w:rsidR="002C3DBB" w:rsidRDefault="002C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Dax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2E93" w14:textId="77777777" w:rsidR="002C3DBB" w:rsidRDefault="002C3DBB">
      <w:r>
        <w:separator/>
      </w:r>
    </w:p>
  </w:footnote>
  <w:footnote w:type="continuationSeparator" w:id="0">
    <w:p w14:paraId="7C643782" w14:textId="77777777" w:rsidR="002C3DBB" w:rsidRDefault="002C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64A09" w14:textId="797C5E4B" w:rsidR="000F01B3" w:rsidRDefault="006765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3A5E5B" wp14:editId="7631DDB6">
          <wp:simplePos x="0" y="0"/>
          <wp:positionH relativeFrom="page">
            <wp:posOffset>0</wp:posOffset>
          </wp:positionH>
          <wp:positionV relativeFrom="paragraph">
            <wp:posOffset>-439070</wp:posOffset>
          </wp:positionV>
          <wp:extent cx="7556400" cy="10677600"/>
          <wp:effectExtent l="0" t="0" r="635" b="3175"/>
          <wp:wrapNone/>
          <wp:docPr id="15604377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437751" name="Picture 15604377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105CFD" w14:textId="77777777" w:rsidR="000F01B3" w:rsidRDefault="000F0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B60"/>
    <w:multiLevelType w:val="hybridMultilevel"/>
    <w:tmpl w:val="DC8229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08CC"/>
    <w:multiLevelType w:val="hybridMultilevel"/>
    <w:tmpl w:val="D62E2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5DC4"/>
    <w:multiLevelType w:val="hybridMultilevel"/>
    <w:tmpl w:val="D9BA39C2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7700DF6"/>
    <w:multiLevelType w:val="hybridMultilevel"/>
    <w:tmpl w:val="884AF9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2644C"/>
    <w:multiLevelType w:val="hybridMultilevel"/>
    <w:tmpl w:val="26B8B410"/>
    <w:lvl w:ilvl="0" w:tplc="2432F858">
      <w:start w:val="1"/>
      <w:numFmt w:val="bullet"/>
      <w:lvlText w:val=""/>
      <w:lvlJc w:val="left"/>
      <w:pPr>
        <w:tabs>
          <w:tab w:val="num" w:pos="364"/>
        </w:tabs>
        <w:ind w:left="340" w:hanging="33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760F1"/>
    <w:multiLevelType w:val="hybridMultilevel"/>
    <w:tmpl w:val="79A679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878AF"/>
    <w:multiLevelType w:val="hybridMultilevel"/>
    <w:tmpl w:val="2CB8F6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80315"/>
    <w:multiLevelType w:val="hybridMultilevel"/>
    <w:tmpl w:val="EF9CDD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F4B6C"/>
    <w:multiLevelType w:val="hybridMultilevel"/>
    <w:tmpl w:val="61CC31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E3378"/>
    <w:multiLevelType w:val="hybridMultilevel"/>
    <w:tmpl w:val="8F32E5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D14A7"/>
    <w:multiLevelType w:val="hybridMultilevel"/>
    <w:tmpl w:val="6B983FF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7C33913"/>
    <w:multiLevelType w:val="hybridMultilevel"/>
    <w:tmpl w:val="A140A3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B4A20"/>
    <w:multiLevelType w:val="hybridMultilevel"/>
    <w:tmpl w:val="83945EF6"/>
    <w:lvl w:ilvl="0" w:tplc="AC26AB7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B7765"/>
    <w:multiLevelType w:val="hybridMultilevel"/>
    <w:tmpl w:val="6FA4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2558A"/>
    <w:multiLevelType w:val="hybridMultilevel"/>
    <w:tmpl w:val="4F7E10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107904"/>
    <w:multiLevelType w:val="hybridMultilevel"/>
    <w:tmpl w:val="D53CE8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B139B3"/>
    <w:multiLevelType w:val="hybridMultilevel"/>
    <w:tmpl w:val="8758C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B721C"/>
    <w:multiLevelType w:val="hybridMultilevel"/>
    <w:tmpl w:val="F65022F4"/>
    <w:lvl w:ilvl="0" w:tplc="B11CF1E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63354"/>
    <w:multiLevelType w:val="hybridMultilevel"/>
    <w:tmpl w:val="CC7E7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32065"/>
    <w:multiLevelType w:val="hybridMultilevel"/>
    <w:tmpl w:val="DC10CF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8164C0"/>
    <w:multiLevelType w:val="hybridMultilevel"/>
    <w:tmpl w:val="BD20F1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E72CC"/>
    <w:multiLevelType w:val="hybridMultilevel"/>
    <w:tmpl w:val="E6526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14747"/>
    <w:multiLevelType w:val="hybridMultilevel"/>
    <w:tmpl w:val="EB7EF1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571DD1"/>
    <w:multiLevelType w:val="hybridMultilevel"/>
    <w:tmpl w:val="0E3A0B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A375DC"/>
    <w:multiLevelType w:val="hybridMultilevel"/>
    <w:tmpl w:val="CBEA49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E829E5"/>
    <w:multiLevelType w:val="hybridMultilevel"/>
    <w:tmpl w:val="8A289D9A"/>
    <w:lvl w:ilvl="0" w:tplc="1409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EDD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4CA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44E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406B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CC05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C09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E7E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43D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6942E6"/>
    <w:multiLevelType w:val="multilevel"/>
    <w:tmpl w:val="660C5F70"/>
    <w:lvl w:ilvl="0">
      <w:start w:val="1"/>
      <w:numFmt w:val="decimal"/>
      <w:lvlText w:val="%1."/>
      <w:lvlJc w:val="left"/>
      <w:pPr>
        <w:ind w:left="709" w:hanging="567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985" w:hanging="426"/>
      </w:pPr>
      <w:rPr>
        <w:rFonts w:hint="default"/>
        <w:b w:val="0"/>
      </w:rPr>
    </w:lvl>
    <w:lvl w:ilvl="3">
      <w:start w:val="1"/>
      <w:numFmt w:val="lowerRoman"/>
      <w:lvlText w:val="%4"/>
      <w:lvlJc w:val="left"/>
      <w:pPr>
        <w:tabs>
          <w:tab w:val="num" w:pos="2410"/>
        </w:tabs>
        <w:ind w:left="2552" w:hanging="567"/>
      </w:pPr>
      <w:rPr>
        <w:rFonts w:hint="default"/>
        <w:b w:val="0"/>
      </w:rPr>
    </w:lvl>
    <w:lvl w:ilvl="4">
      <w:start w:val="1"/>
      <w:numFmt w:val="decimal"/>
      <w:lvlText w:val="%1.%2.%5."/>
      <w:lvlJc w:val="left"/>
      <w:pPr>
        <w:ind w:left="1559" w:hanging="141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4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1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8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5" w:hanging="567"/>
      </w:pPr>
      <w:rPr>
        <w:rFonts w:hint="default"/>
      </w:rPr>
    </w:lvl>
  </w:abstractNum>
  <w:abstractNum w:abstractNumId="27" w15:restartNumberingAfterBreak="0">
    <w:nsid w:val="448D2A55"/>
    <w:multiLevelType w:val="hybridMultilevel"/>
    <w:tmpl w:val="CD326E82"/>
    <w:lvl w:ilvl="0" w:tplc="72AA3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C4AE8"/>
    <w:multiLevelType w:val="hybridMultilevel"/>
    <w:tmpl w:val="394EAD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0620C3"/>
    <w:multiLevelType w:val="hybridMultilevel"/>
    <w:tmpl w:val="24649D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54658"/>
    <w:multiLevelType w:val="hybridMultilevel"/>
    <w:tmpl w:val="D352AC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B09EC"/>
    <w:multiLevelType w:val="hybridMultilevel"/>
    <w:tmpl w:val="AFCA78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FF6679"/>
    <w:multiLevelType w:val="hybridMultilevel"/>
    <w:tmpl w:val="F1FE5A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905F8"/>
    <w:multiLevelType w:val="hybridMultilevel"/>
    <w:tmpl w:val="32AE9B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D47C9"/>
    <w:multiLevelType w:val="hybridMultilevel"/>
    <w:tmpl w:val="789C72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57BD4"/>
    <w:multiLevelType w:val="hybridMultilevel"/>
    <w:tmpl w:val="9A60C918"/>
    <w:lvl w:ilvl="0" w:tplc="1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C6EF4"/>
    <w:multiLevelType w:val="hybridMultilevel"/>
    <w:tmpl w:val="925A1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829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48331F7"/>
    <w:multiLevelType w:val="hybridMultilevel"/>
    <w:tmpl w:val="7A3827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E1CEB"/>
    <w:multiLevelType w:val="hybridMultilevel"/>
    <w:tmpl w:val="B62A0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5267F"/>
    <w:multiLevelType w:val="hybridMultilevel"/>
    <w:tmpl w:val="123AB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677ADD"/>
    <w:multiLevelType w:val="hybridMultilevel"/>
    <w:tmpl w:val="6CB8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9015B"/>
    <w:multiLevelType w:val="hybridMultilevel"/>
    <w:tmpl w:val="6F601FD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47415"/>
    <w:multiLevelType w:val="hybridMultilevel"/>
    <w:tmpl w:val="3A68F2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D2EB0"/>
    <w:multiLevelType w:val="hybridMultilevel"/>
    <w:tmpl w:val="B0C4E4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70A32"/>
    <w:multiLevelType w:val="multilevel"/>
    <w:tmpl w:val="AB2C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35504C"/>
    <w:multiLevelType w:val="hybridMultilevel"/>
    <w:tmpl w:val="98907B4E"/>
    <w:lvl w:ilvl="0" w:tplc="B11CF1E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0"/>
        </w:tabs>
        <w:ind w:left="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90"/>
        </w:tabs>
        <w:ind w:left="1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10"/>
        </w:tabs>
        <w:ind w:left="2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30"/>
        </w:tabs>
        <w:ind w:left="3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50"/>
        </w:tabs>
        <w:ind w:left="4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70"/>
        </w:tabs>
        <w:ind w:left="4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90"/>
        </w:tabs>
        <w:ind w:left="5590" w:hanging="360"/>
      </w:pPr>
      <w:rPr>
        <w:rFonts w:ascii="Wingdings" w:hAnsi="Wingdings" w:hint="default"/>
      </w:rPr>
    </w:lvl>
  </w:abstractNum>
  <w:abstractNum w:abstractNumId="47" w15:restartNumberingAfterBreak="0">
    <w:nsid w:val="7E346984"/>
    <w:multiLevelType w:val="hybridMultilevel"/>
    <w:tmpl w:val="8FDC50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366847">
    <w:abstractNumId w:val="42"/>
  </w:num>
  <w:num w:numId="2" w16cid:durableId="2093579627">
    <w:abstractNumId w:val="12"/>
  </w:num>
  <w:num w:numId="3" w16cid:durableId="783110388">
    <w:abstractNumId w:val="27"/>
  </w:num>
  <w:num w:numId="4" w16cid:durableId="981931065">
    <w:abstractNumId w:val="47"/>
  </w:num>
  <w:num w:numId="5" w16cid:durableId="1128011361">
    <w:abstractNumId w:val="25"/>
  </w:num>
  <w:num w:numId="6" w16cid:durableId="560486314">
    <w:abstractNumId w:val="2"/>
  </w:num>
  <w:num w:numId="7" w16cid:durableId="2118864769">
    <w:abstractNumId w:val="37"/>
  </w:num>
  <w:num w:numId="8" w16cid:durableId="261957267">
    <w:abstractNumId w:val="23"/>
  </w:num>
  <w:num w:numId="9" w16cid:durableId="1985428126">
    <w:abstractNumId w:val="32"/>
  </w:num>
  <w:num w:numId="10" w16cid:durableId="66003141">
    <w:abstractNumId w:val="16"/>
  </w:num>
  <w:num w:numId="11" w16cid:durableId="1489396302">
    <w:abstractNumId w:val="34"/>
  </w:num>
  <w:num w:numId="12" w16cid:durableId="1996717926">
    <w:abstractNumId w:val="1"/>
  </w:num>
  <w:num w:numId="13" w16cid:durableId="1097679074">
    <w:abstractNumId w:val="45"/>
  </w:num>
  <w:num w:numId="14" w16cid:durableId="796410416">
    <w:abstractNumId w:val="37"/>
  </w:num>
  <w:num w:numId="15" w16cid:durableId="1023676036">
    <w:abstractNumId w:val="32"/>
  </w:num>
  <w:num w:numId="16" w16cid:durableId="401293198">
    <w:abstractNumId w:val="23"/>
  </w:num>
  <w:num w:numId="17" w16cid:durableId="1485463572">
    <w:abstractNumId w:val="10"/>
  </w:num>
  <w:num w:numId="18" w16cid:durableId="535703924">
    <w:abstractNumId w:val="43"/>
  </w:num>
  <w:num w:numId="19" w16cid:durableId="1154376861">
    <w:abstractNumId w:val="19"/>
  </w:num>
  <w:num w:numId="20" w16cid:durableId="1434089547">
    <w:abstractNumId w:val="3"/>
  </w:num>
  <w:num w:numId="21" w16cid:durableId="17511831">
    <w:abstractNumId w:val="8"/>
  </w:num>
  <w:num w:numId="22" w16cid:durableId="651711855">
    <w:abstractNumId w:val="26"/>
  </w:num>
  <w:num w:numId="23" w16cid:durableId="817499065">
    <w:abstractNumId w:val="13"/>
  </w:num>
  <w:num w:numId="24" w16cid:durableId="426001187">
    <w:abstractNumId w:val="38"/>
  </w:num>
  <w:num w:numId="25" w16cid:durableId="2022393427">
    <w:abstractNumId w:val="35"/>
  </w:num>
  <w:num w:numId="26" w16cid:durableId="537006988">
    <w:abstractNumId w:val="7"/>
  </w:num>
  <w:num w:numId="27" w16cid:durableId="1426269670">
    <w:abstractNumId w:val="5"/>
  </w:num>
  <w:num w:numId="28" w16cid:durableId="182792120">
    <w:abstractNumId w:val="21"/>
  </w:num>
  <w:num w:numId="29" w16cid:durableId="413094226">
    <w:abstractNumId w:val="29"/>
  </w:num>
  <w:num w:numId="30" w16cid:durableId="943532972">
    <w:abstractNumId w:val="41"/>
  </w:num>
  <w:num w:numId="31" w16cid:durableId="1155755228">
    <w:abstractNumId w:val="6"/>
  </w:num>
  <w:num w:numId="32" w16cid:durableId="1088892985">
    <w:abstractNumId w:val="4"/>
  </w:num>
  <w:num w:numId="33" w16cid:durableId="1502309178">
    <w:abstractNumId w:val="17"/>
  </w:num>
  <w:num w:numId="34" w16cid:durableId="2113892441">
    <w:abstractNumId w:val="46"/>
  </w:num>
  <w:num w:numId="35" w16cid:durableId="904028799">
    <w:abstractNumId w:val="0"/>
  </w:num>
  <w:num w:numId="36" w16cid:durableId="1702363856">
    <w:abstractNumId w:val="33"/>
  </w:num>
  <w:num w:numId="37" w16cid:durableId="403646627">
    <w:abstractNumId w:val="9"/>
  </w:num>
  <w:num w:numId="38" w16cid:durableId="1586762835">
    <w:abstractNumId w:val="22"/>
  </w:num>
  <w:num w:numId="39" w16cid:durableId="1283850698">
    <w:abstractNumId w:val="31"/>
  </w:num>
  <w:num w:numId="40" w16cid:durableId="1037705686">
    <w:abstractNumId w:val="11"/>
  </w:num>
  <w:num w:numId="41" w16cid:durableId="788861695">
    <w:abstractNumId w:val="28"/>
  </w:num>
  <w:num w:numId="42" w16cid:durableId="162280806">
    <w:abstractNumId w:val="15"/>
  </w:num>
  <w:num w:numId="43" w16cid:durableId="383870868">
    <w:abstractNumId w:val="24"/>
  </w:num>
  <w:num w:numId="44" w16cid:durableId="1859923219">
    <w:abstractNumId w:val="44"/>
  </w:num>
  <w:num w:numId="45" w16cid:durableId="392627303">
    <w:abstractNumId w:val="40"/>
  </w:num>
  <w:num w:numId="46" w16cid:durableId="1782718930">
    <w:abstractNumId w:val="39"/>
  </w:num>
  <w:num w:numId="47" w16cid:durableId="693925865">
    <w:abstractNumId w:val="14"/>
  </w:num>
  <w:num w:numId="48" w16cid:durableId="1958833128">
    <w:abstractNumId w:val="30"/>
  </w:num>
  <w:num w:numId="49" w16cid:durableId="1083796025">
    <w:abstractNumId w:val="36"/>
  </w:num>
  <w:num w:numId="50" w16cid:durableId="1977442331">
    <w:abstractNumId w:val="20"/>
  </w:num>
  <w:num w:numId="51" w16cid:durableId="224680666">
    <w:abstractNumId w:val="18"/>
  </w:num>
  <w:num w:numId="52" w16cid:durableId="16627799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CD"/>
    <w:rsid w:val="000027E6"/>
    <w:rsid w:val="00002B11"/>
    <w:rsid w:val="000167EA"/>
    <w:rsid w:val="00042E83"/>
    <w:rsid w:val="000541AE"/>
    <w:rsid w:val="00067BB6"/>
    <w:rsid w:val="0008759B"/>
    <w:rsid w:val="00091006"/>
    <w:rsid w:val="000A3CCF"/>
    <w:rsid w:val="000B0410"/>
    <w:rsid w:val="000B19BC"/>
    <w:rsid w:val="000B556E"/>
    <w:rsid w:val="000B6E46"/>
    <w:rsid w:val="000C3A71"/>
    <w:rsid w:val="000C6AF3"/>
    <w:rsid w:val="000D3F54"/>
    <w:rsid w:val="000F01B3"/>
    <w:rsid w:val="000F023E"/>
    <w:rsid w:val="001238AA"/>
    <w:rsid w:val="00144A8E"/>
    <w:rsid w:val="00146502"/>
    <w:rsid w:val="00172E76"/>
    <w:rsid w:val="001734EB"/>
    <w:rsid w:val="001C3EA9"/>
    <w:rsid w:val="001D7B93"/>
    <w:rsid w:val="001F18EF"/>
    <w:rsid w:val="00227D27"/>
    <w:rsid w:val="002376D4"/>
    <w:rsid w:val="0024738F"/>
    <w:rsid w:val="00247645"/>
    <w:rsid w:val="00265BF4"/>
    <w:rsid w:val="00270FC2"/>
    <w:rsid w:val="00271F9C"/>
    <w:rsid w:val="00277C8E"/>
    <w:rsid w:val="002913F3"/>
    <w:rsid w:val="002A5F8B"/>
    <w:rsid w:val="002B0A02"/>
    <w:rsid w:val="002B3F35"/>
    <w:rsid w:val="002C0037"/>
    <w:rsid w:val="002C3DBB"/>
    <w:rsid w:val="002E3F94"/>
    <w:rsid w:val="002F6367"/>
    <w:rsid w:val="00313A64"/>
    <w:rsid w:val="0031710A"/>
    <w:rsid w:val="003224C0"/>
    <w:rsid w:val="003522E1"/>
    <w:rsid w:val="003526B6"/>
    <w:rsid w:val="00366D48"/>
    <w:rsid w:val="003B0097"/>
    <w:rsid w:val="003B094A"/>
    <w:rsid w:val="003B576D"/>
    <w:rsid w:val="003C659A"/>
    <w:rsid w:val="003D2B7A"/>
    <w:rsid w:val="003F5B25"/>
    <w:rsid w:val="0041016B"/>
    <w:rsid w:val="004245F1"/>
    <w:rsid w:val="00424978"/>
    <w:rsid w:val="00424F6F"/>
    <w:rsid w:val="00435085"/>
    <w:rsid w:val="00461D42"/>
    <w:rsid w:val="00475BB2"/>
    <w:rsid w:val="00476788"/>
    <w:rsid w:val="0047687C"/>
    <w:rsid w:val="004871F3"/>
    <w:rsid w:val="0049402D"/>
    <w:rsid w:val="004A5C37"/>
    <w:rsid w:val="004D2A9B"/>
    <w:rsid w:val="004D7BE9"/>
    <w:rsid w:val="004D7D86"/>
    <w:rsid w:val="004E00BD"/>
    <w:rsid w:val="004F1870"/>
    <w:rsid w:val="004F61B6"/>
    <w:rsid w:val="00515CF7"/>
    <w:rsid w:val="00537B85"/>
    <w:rsid w:val="0054474F"/>
    <w:rsid w:val="005779B4"/>
    <w:rsid w:val="00597C4D"/>
    <w:rsid w:val="005A1460"/>
    <w:rsid w:val="005A4140"/>
    <w:rsid w:val="005B72B8"/>
    <w:rsid w:val="005C24BB"/>
    <w:rsid w:val="005C58AD"/>
    <w:rsid w:val="005D0F53"/>
    <w:rsid w:val="005F2DF5"/>
    <w:rsid w:val="0061027A"/>
    <w:rsid w:val="0061096E"/>
    <w:rsid w:val="00612AAE"/>
    <w:rsid w:val="006136FE"/>
    <w:rsid w:val="00633556"/>
    <w:rsid w:val="0063519D"/>
    <w:rsid w:val="00676546"/>
    <w:rsid w:val="00677E3A"/>
    <w:rsid w:val="00680025"/>
    <w:rsid w:val="00680691"/>
    <w:rsid w:val="00693345"/>
    <w:rsid w:val="006A2DF9"/>
    <w:rsid w:val="006A5763"/>
    <w:rsid w:val="006B680A"/>
    <w:rsid w:val="006C4CF6"/>
    <w:rsid w:val="006D6F45"/>
    <w:rsid w:val="006F4ECE"/>
    <w:rsid w:val="00707246"/>
    <w:rsid w:val="0072510A"/>
    <w:rsid w:val="00743F21"/>
    <w:rsid w:val="00746A70"/>
    <w:rsid w:val="00756577"/>
    <w:rsid w:val="00766305"/>
    <w:rsid w:val="00775728"/>
    <w:rsid w:val="007A3418"/>
    <w:rsid w:val="007B1EC2"/>
    <w:rsid w:val="007B47EF"/>
    <w:rsid w:val="007C56E3"/>
    <w:rsid w:val="007E567A"/>
    <w:rsid w:val="00803ABD"/>
    <w:rsid w:val="0082297B"/>
    <w:rsid w:val="008610DC"/>
    <w:rsid w:val="00872870"/>
    <w:rsid w:val="00875060"/>
    <w:rsid w:val="008A2D54"/>
    <w:rsid w:val="009132ED"/>
    <w:rsid w:val="00914C29"/>
    <w:rsid w:val="00931666"/>
    <w:rsid w:val="00932FC6"/>
    <w:rsid w:val="0093376A"/>
    <w:rsid w:val="009352F2"/>
    <w:rsid w:val="0093784A"/>
    <w:rsid w:val="00940798"/>
    <w:rsid w:val="00941CDC"/>
    <w:rsid w:val="00942C64"/>
    <w:rsid w:val="00951E0C"/>
    <w:rsid w:val="009535A4"/>
    <w:rsid w:val="00957DC5"/>
    <w:rsid w:val="009600F5"/>
    <w:rsid w:val="00960859"/>
    <w:rsid w:val="00971413"/>
    <w:rsid w:val="00973BF2"/>
    <w:rsid w:val="009769CE"/>
    <w:rsid w:val="00977CF4"/>
    <w:rsid w:val="009818F2"/>
    <w:rsid w:val="009B0E4E"/>
    <w:rsid w:val="009C2B07"/>
    <w:rsid w:val="009F02A2"/>
    <w:rsid w:val="009F1F0C"/>
    <w:rsid w:val="009F4B8E"/>
    <w:rsid w:val="00A009CD"/>
    <w:rsid w:val="00A01DDC"/>
    <w:rsid w:val="00A02E41"/>
    <w:rsid w:val="00A04774"/>
    <w:rsid w:val="00A210BD"/>
    <w:rsid w:val="00A225A6"/>
    <w:rsid w:val="00A3562C"/>
    <w:rsid w:val="00A435CB"/>
    <w:rsid w:val="00A46839"/>
    <w:rsid w:val="00A555D7"/>
    <w:rsid w:val="00A86F82"/>
    <w:rsid w:val="00A9226F"/>
    <w:rsid w:val="00A933DF"/>
    <w:rsid w:val="00A93ADD"/>
    <w:rsid w:val="00AD5BC3"/>
    <w:rsid w:val="00AE4A58"/>
    <w:rsid w:val="00AF03FF"/>
    <w:rsid w:val="00AF5E16"/>
    <w:rsid w:val="00B3368A"/>
    <w:rsid w:val="00B37652"/>
    <w:rsid w:val="00B439BA"/>
    <w:rsid w:val="00B43D72"/>
    <w:rsid w:val="00B44A90"/>
    <w:rsid w:val="00B475E5"/>
    <w:rsid w:val="00B54996"/>
    <w:rsid w:val="00B717A6"/>
    <w:rsid w:val="00B82110"/>
    <w:rsid w:val="00B86FA1"/>
    <w:rsid w:val="00B9757B"/>
    <w:rsid w:val="00BA1875"/>
    <w:rsid w:val="00BC2356"/>
    <w:rsid w:val="00BD4030"/>
    <w:rsid w:val="00BF3155"/>
    <w:rsid w:val="00BF5D7C"/>
    <w:rsid w:val="00C2310C"/>
    <w:rsid w:val="00C27DDA"/>
    <w:rsid w:val="00C55CFE"/>
    <w:rsid w:val="00C702DC"/>
    <w:rsid w:val="00C8237E"/>
    <w:rsid w:val="00C839D4"/>
    <w:rsid w:val="00C87B27"/>
    <w:rsid w:val="00C932A4"/>
    <w:rsid w:val="00C93A68"/>
    <w:rsid w:val="00CB15F1"/>
    <w:rsid w:val="00CB30A9"/>
    <w:rsid w:val="00CB7A2E"/>
    <w:rsid w:val="00CC083B"/>
    <w:rsid w:val="00CC4E20"/>
    <w:rsid w:val="00CC5250"/>
    <w:rsid w:val="00CC56F3"/>
    <w:rsid w:val="00CE5726"/>
    <w:rsid w:val="00CE632A"/>
    <w:rsid w:val="00D04308"/>
    <w:rsid w:val="00D35CB0"/>
    <w:rsid w:val="00D479EC"/>
    <w:rsid w:val="00D528C8"/>
    <w:rsid w:val="00D57DC6"/>
    <w:rsid w:val="00D667CC"/>
    <w:rsid w:val="00D700F8"/>
    <w:rsid w:val="00D740A1"/>
    <w:rsid w:val="00D746E9"/>
    <w:rsid w:val="00D84C18"/>
    <w:rsid w:val="00D8589E"/>
    <w:rsid w:val="00D85F6F"/>
    <w:rsid w:val="00DA4CA5"/>
    <w:rsid w:val="00DA7D28"/>
    <w:rsid w:val="00DB277A"/>
    <w:rsid w:val="00DB4DC2"/>
    <w:rsid w:val="00DC0B2D"/>
    <w:rsid w:val="00DD0DEE"/>
    <w:rsid w:val="00DD3A67"/>
    <w:rsid w:val="00DF085A"/>
    <w:rsid w:val="00E07B16"/>
    <w:rsid w:val="00E2063F"/>
    <w:rsid w:val="00E23220"/>
    <w:rsid w:val="00E25A68"/>
    <w:rsid w:val="00E4693B"/>
    <w:rsid w:val="00E55583"/>
    <w:rsid w:val="00E56E86"/>
    <w:rsid w:val="00EC7DC5"/>
    <w:rsid w:val="00ED2E0F"/>
    <w:rsid w:val="00EF2819"/>
    <w:rsid w:val="00EF3491"/>
    <w:rsid w:val="00F243E4"/>
    <w:rsid w:val="00F33BB6"/>
    <w:rsid w:val="00F50512"/>
    <w:rsid w:val="00F57DFE"/>
    <w:rsid w:val="00F7281F"/>
    <w:rsid w:val="00F776A8"/>
    <w:rsid w:val="00F93B22"/>
    <w:rsid w:val="00F94EF3"/>
    <w:rsid w:val="00F958CC"/>
    <w:rsid w:val="00FA4EDF"/>
    <w:rsid w:val="00FC4C3C"/>
    <w:rsid w:val="00FE22EE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9021F"/>
  <w15:chartTrackingRefBased/>
  <w15:docId w15:val="{45FD08C4-F44E-4E85-B14F-B3A9BCB8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CD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00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9CD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Default">
    <w:name w:val="Default"/>
    <w:rsid w:val="00A009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A009CD"/>
    <w:pPr>
      <w:autoSpaceDE w:val="0"/>
      <w:autoSpaceDN w:val="0"/>
      <w:adjustRightInd w:val="0"/>
      <w:spacing w:before="100" w:line="241" w:lineRule="atLeast"/>
    </w:pPr>
    <w:rPr>
      <w:rFonts w:ascii="Dax" w:eastAsia="Calibri" w:hAnsi="Dax"/>
      <w:lang w:val="en-US"/>
    </w:rPr>
  </w:style>
  <w:style w:type="character" w:customStyle="1" w:styleId="A2">
    <w:name w:val="A2"/>
    <w:uiPriority w:val="99"/>
    <w:rsid w:val="00A009CD"/>
    <w:rPr>
      <w:rFonts w:cs="Dax"/>
      <w:color w:val="000000"/>
      <w:sz w:val="18"/>
      <w:szCs w:val="18"/>
    </w:rPr>
  </w:style>
  <w:style w:type="table" w:customStyle="1" w:styleId="TableGrid">
    <w:name w:val="TableGrid"/>
    <w:rsid w:val="00A009CD"/>
    <w:pPr>
      <w:spacing w:after="0" w:line="240" w:lineRule="auto"/>
    </w:pPr>
    <w:rPr>
      <w:rFonts w:eastAsiaTheme="minorEastAsia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009CD"/>
    <w:pPr>
      <w:spacing w:before="100" w:beforeAutospacing="1" w:after="100" w:afterAutospacing="1"/>
    </w:pPr>
    <w:rPr>
      <w:lang w:val="en-NZ" w:eastAsia="en-NZ"/>
    </w:rPr>
  </w:style>
  <w:style w:type="character" w:styleId="Hyperlink">
    <w:name w:val="Hyperlink"/>
    <w:basedOn w:val="DefaultParagraphFont"/>
    <w:uiPriority w:val="99"/>
    <w:semiHidden/>
    <w:unhideWhenUsed/>
    <w:rsid w:val="00A009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D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DEE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8C3E6F1B2C64A9A4C2DDCB31870D7" ma:contentTypeVersion="18" ma:contentTypeDescription="Create a new document." ma:contentTypeScope="" ma:versionID="17825d96a21119c59775309ca5e1d1f2">
  <xsd:schema xmlns:xsd="http://www.w3.org/2001/XMLSchema" xmlns:xs="http://www.w3.org/2001/XMLSchema" xmlns:p="http://schemas.microsoft.com/office/2006/metadata/properties" xmlns:ns2="63455466-d74e-4cfa-b797-af4c93693bd7" xmlns:ns3="396f4a78-e0b6-4c24-93e5-dd7b3c2c65fe" targetNamespace="http://schemas.microsoft.com/office/2006/metadata/properties" ma:root="true" ma:fieldsID="0cca8119decd2b966d3d6d6f8b9cadfc" ns2:_="" ns3:_="">
    <xsd:import namespace="63455466-d74e-4cfa-b797-af4c93693bd7"/>
    <xsd:import namespace="396f4a78-e0b6-4c24-93e5-dd7b3c2c6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55466-d74e-4cfa-b797-af4c93693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513e89-0035-4dbf-973b-b711cf3b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f4a78-e0b6-4c24-93e5-dd7b3c2c6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982476-110f-4bb4-b8e7-3cde038fa9ee}" ma:internalName="TaxCatchAll" ma:showField="CatchAllData" ma:web="396f4a78-e0b6-4c24-93e5-dd7b3c2c6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55466-d74e-4cfa-b797-af4c93693bd7">
      <Terms xmlns="http://schemas.microsoft.com/office/infopath/2007/PartnerControls"/>
    </lcf76f155ced4ddcb4097134ff3c332f>
    <TaxCatchAll xmlns="396f4a78-e0b6-4c24-93e5-dd7b3c2c65fe" xsi:nil="true"/>
  </documentManagement>
</p:properties>
</file>

<file path=customXml/itemProps1.xml><?xml version="1.0" encoding="utf-8"?>
<ds:datastoreItem xmlns:ds="http://schemas.openxmlformats.org/officeDocument/2006/customXml" ds:itemID="{DF23D26F-634C-4626-A52A-E1C2036E8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55466-d74e-4cfa-b797-af4c93693bd7"/>
    <ds:schemaRef ds:uri="396f4a78-e0b6-4c24-93e5-dd7b3c2c6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D0479-FE28-4B96-9520-1A13755F3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FA070-FF7D-4D3D-BE2A-25460D60EF62}">
  <ds:schemaRefs>
    <ds:schemaRef ds:uri="http://schemas.microsoft.com/office/2006/metadata/properties"/>
    <ds:schemaRef ds:uri="http://schemas.microsoft.com/office/infopath/2007/PartnerControls"/>
    <ds:schemaRef ds:uri="63455466-d74e-4cfa-b797-af4c93693bd7"/>
    <ds:schemaRef ds:uri="396f4a78-e0b6-4c24-93e5-dd7b3c2c65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Blescel Moredo</dc:creator>
  <cp:keywords/>
  <dc:description/>
  <cp:lastModifiedBy>Brook Turner</cp:lastModifiedBy>
  <cp:revision>2</cp:revision>
  <cp:lastPrinted>2022-12-12T21:34:00Z</cp:lastPrinted>
  <dcterms:created xsi:type="dcterms:W3CDTF">2024-11-11T04:21:00Z</dcterms:created>
  <dcterms:modified xsi:type="dcterms:W3CDTF">2024-11-11T04:21:00Z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0x0101005E68C3E6F1B2C64A9A4C2DDCB31870D7</vt:lpwstr>
  </property>
  <property fmtid="{D5CDD505-2E9C-101B-9397-08002B2CF9AE}" pid="3" name="Order">
    <vt:r8>4324100</vt:r8>
  </property>
  <property fmtid="{D5CDD505-2E9C-101B-9397-08002B2CF9AE}" pid="4" name="MediaServiceImageTags">
    <vt:lpwstr/>
  </property>
</Properties>
</file>